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EA" w:rsidRDefault="001702EA" w:rsidP="001702EA">
      <w:pPr>
        <w:shd w:val="clear" w:color="auto" w:fill="FFFFFF"/>
        <w:ind w:left="4956"/>
        <w:jc w:val="center"/>
        <w:rPr>
          <w:rFonts w:eastAsia="Times New Roman"/>
          <w:color w:val="000080"/>
          <w:sz w:val="22"/>
          <w:szCs w:val="22"/>
        </w:rPr>
      </w:pPr>
      <w:bookmarkStart w:id="0" w:name="854279"/>
      <w:bookmarkStart w:id="1" w:name="854276"/>
      <w:proofErr w:type="spellStart"/>
      <w:r>
        <w:rPr>
          <w:rFonts w:eastAsia="Times New Roman"/>
          <w:color w:val="000080"/>
          <w:sz w:val="22"/>
          <w:szCs w:val="22"/>
        </w:rPr>
        <w:t>Вазирлар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Маҳкамасининг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1997 </w:t>
      </w:r>
      <w:proofErr w:type="spellStart"/>
      <w:r>
        <w:rPr>
          <w:rFonts w:eastAsia="Times New Roman"/>
          <w:color w:val="000080"/>
          <w:sz w:val="22"/>
          <w:szCs w:val="22"/>
        </w:rPr>
        <w:t>йил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11 </w:t>
      </w:r>
      <w:proofErr w:type="spellStart"/>
      <w:r>
        <w:rPr>
          <w:rFonts w:eastAsia="Times New Roman"/>
          <w:color w:val="000080"/>
          <w:sz w:val="22"/>
          <w:szCs w:val="22"/>
        </w:rPr>
        <w:t>мартдаги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133-сон </w:t>
      </w:r>
      <w:bookmarkEnd w:id="1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HYPERLINK "517034"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proofErr w:type="spellStart"/>
      <w:r>
        <w:rPr>
          <w:rFonts w:eastAsia="Times New Roman"/>
          <w:color w:val="008080"/>
          <w:sz w:val="22"/>
          <w:szCs w:val="22"/>
        </w:rPr>
        <w:t>қарорига</w:t>
      </w:r>
      <w:proofErr w:type="spellEnd"/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br/>
        <w:t xml:space="preserve">4-ИЛОВА </w:t>
      </w:r>
    </w:p>
    <w:p w:rsidR="001702EA" w:rsidRPr="001702EA" w:rsidRDefault="001702EA" w:rsidP="001702EA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</w:p>
    <w:p w:rsidR="001702EA" w:rsidRPr="001702EA" w:rsidRDefault="001702EA" w:rsidP="001702EA">
      <w:pPr>
        <w:shd w:val="clear" w:color="auto" w:fill="FFFFFF"/>
        <w:jc w:val="center"/>
        <w:rPr>
          <w:rFonts w:eastAsia="Times New Roman"/>
          <w:b/>
          <w:bCs/>
          <w:color w:val="000080"/>
          <w:lang w:val="uz-Cyrl-UZ"/>
        </w:rPr>
      </w:pPr>
      <w:bookmarkStart w:id="2" w:name="_GoBack"/>
      <w:r w:rsidRPr="001702EA">
        <w:rPr>
          <w:rFonts w:eastAsia="Times New Roman"/>
          <w:b/>
          <w:bCs/>
          <w:color w:val="000080"/>
          <w:lang w:val="uz-Cyrl-UZ"/>
        </w:rPr>
        <w:t>Алоҳида тусга эга бўлган ишлардаги қисқартирилган иш куни белгиланадиган ходимлар</w:t>
      </w:r>
      <w:bookmarkEnd w:id="0"/>
    </w:p>
    <w:p w:rsidR="001702EA" w:rsidRDefault="001702EA" w:rsidP="001702EA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  <w:bookmarkStart w:id="3" w:name="854283"/>
      <w:proofErr w:type="gramStart"/>
      <w:r>
        <w:rPr>
          <w:rFonts w:eastAsia="Times New Roman"/>
          <w:caps/>
          <w:color w:val="000080"/>
        </w:rPr>
        <w:t>Р</w:t>
      </w:r>
      <w:proofErr w:type="gramEnd"/>
      <w:r>
        <w:rPr>
          <w:rFonts w:eastAsia="Times New Roman"/>
          <w:caps/>
          <w:color w:val="000080"/>
        </w:rPr>
        <w:t>ЎЙХАТИ</w:t>
      </w:r>
      <w:bookmarkEnd w:id="3"/>
    </w:p>
    <w:bookmarkEnd w:id="2"/>
    <w:p w:rsidR="001702EA" w:rsidRPr="001702EA" w:rsidRDefault="001702EA" w:rsidP="001702EA">
      <w:pPr>
        <w:shd w:val="clear" w:color="auto" w:fill="FFFFFF"/>
        <w:jc w:val="center"/>
        <w:rPr>
          <w:rFonts w:eastAsia="Times New Roman"/>
          <w:caps/>
          <w:color w:val="000080"/>
          <w:lang w:val="uz-Cyrl-U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450"/>
        <w:gridCol w:w="1110"/>
      </w:tblGrid>
      <w:tr w:rsidR="001702EA" w:rsidRPr="001702EA" w:rsidTr="001702EA">
        <w:tc>
          <w:tcPr>
            <w:tcW w:w="840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Pr="001702EA" w:rsidRDefault="001702EA" w:rsidP="005C0DFD">
            <w:pPr>
              <w:jc w:val="center"/>
              <w:rPr>
                <w:b/>
                <w:color w:val="000000"/>
              </w:rPr>
            </w:pPr>
            <w:bookmarkStart w:id="4" w:name="854284"/>
            <w:bookmarkStart w:id="5" w:name="1902996"/>
            <w:bookmarkStart w:id="6" w:name="1902998"/>
            <w:bookmarkEnd w:id="4"/>
            <w:bookmarkEnd w:id="5"/>
            <w:r w:rsidRPr="001702EA">
              <w:rPr>
                <w:b/>
                <w:color w:val="000000"/>
                <w:sz w:val="20"/>
                <w:szCs w:val="20"/>
              </w:rPr>
              <w:t>т/</w:t>
            </w:r>
            <w:proofErr w:type="gramStart"/>
            <w:r w:rsidRPr="001702EA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1702EA">
              <w:rPr>
                <w:b/>
                <w:color w:val="000000"/>
                <w:sz w:val="20"/>
                <w:szCs w:val="2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Pr="001702EA" w:rsidRDefault="001702EA" w:rsidP="005C0DFD">
            <w:pPr>
              <w:jc w:val="center"/>
              <w:rPr>
                <w:b/>
                <w:color w:val="000000"/>
              </w:rPr>
            </w:pPr>
            <w:proofErr w:type="spellStart"/>
            <w:r w:rsidRPr="001702EA">
              <w:rPr>
                <w:b/>
                <w:color w:val="000000"/>
                <w:sz w:val="20"/>
                <w:szCs w:val="20"/>
              </w:rPr>
              <w:t>Кас</w:t>
            </w:r>
            <w:proofErr w:type="gramStart"/>
            <w:r w:rsidRPr="001702EA">
              <w:rPr>
                <w:b/>
                <w:color w:val="000000"/>
                <w:sz w:val="20"/>
                <w:szCs w:val="20"/>
              </w:rPr>
              <w:t>б-</w:t>
            </w:r>
            <w:proofErr w:type="gramEnd"/>
            <w:r w:rsidRPr="001702EA">
              <w:rPr>
                <w:b/>
                <w:color w:val="000000"/>
                <w:sz w:val="20"/>
                <w:szCs w:val="20"/>
              </w:rPr>
              <w:t>ҳунар</w:t>
            </w:r>
            <w:proofErr w:type="spellEnd"/>
            <w:r w:rsidRPr="001702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02EA">
              <w:rPr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1702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02EA">
              <w:rPr>
                <w:b/>
                <w:color w:val="000000"/>
                <w:sz w:val="20"/>
                <w:szCs w:val="20"/>
              </w:rPr>
              <w:t>лавозимлар</w:t>
            </w:r>
            <w:proofErr w:type="spellEnd"/>
            <w:r w:rsidRPr="001702EA">
              <w:rPr>
                <w:b/>
                <w:color w:val="000000"/>
                <w:sz w:val="20"/>
                <w:szCs w:val="20"/>
              </w:rPr>
              <w:t>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Pr="001702EA" w:rsidRDefault="001702EA" w:rsidP="005C0DFD">
            <w:pPr>
              <w:jc w:val="center"/>
              <w:rPr>
                <w:b/>
                <w:color w:val="000000"/>
              </w:rPr>
            </w:pPr>
            <w:proofErr w:type="spellStart"/>
            <w:r w:rsidRPr="001702EA">
              <w:rPr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1702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02EA">
              <w:rPr>
                <w:b/>
                <w:color w:val="000000"/>
                <w:sz w:val="20"/>
                <w:szCs w:val="20"/>
              </w:rPr>
              <w:t>куни</w:t>
            </w:r>
            <w:proofErr w:type="spellEnd"/>
            <w:r w:rsidRPr="001702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02EA">
              <w:rPr>
                <w:b/>
                <w:color w:val="000000"/>
                <w:sz w:val="20"/>
                <w:szCs w:val="20"/>
              </w:rPr>
              <w:t>муддати</w:t>
            </w:r>
            <w:proofErr w:type="spellEnd"/>
            <w:r w:rsidRPr="001702EA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02EA">
              <w:rPr>
                <w:b/>
                <w:color w:val="000000"/>
                <w:sz w:val="20"/>
                <w:szCs w:val="20"/>
              </w:rPr>
              <w:t>соат</w:t>
            </w:r>
            <w:proofErr w:type="spellEnd"/>
            <w:r w:rsidRPr="001702EA">
              <w:rPr>
                <w:b/>
                <w:color w:val="000000"/>
                <w:sz w:val="20"/>
                <w:szCs w:val="20"/>
              </w:rPr>
              <w:t>‎‎</w:t>
            </w:r>
            <w:bookmarkEnd w:id="6"/>
            <w:r w:rsidRPr="001702EA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1702EA">
              <w:rPr>
                <w:b/>
                <w:color w:val="000000"/>
                <w:sz w:val="20"/>
                <w:szCs w:val="20"/>
              </w:rPr>
              <w:instrText xml:space="preserve"> HYPERLINK "517034" \l "1553687" </w:instrText>
            </w:r>
            <w:r w:rsidRPr="001702EA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1702EA">
              <w:rPr>
                <w:b/>
                <w:color w:val="008080"/>
                <w:sz w:val="20"/>
                <w:szCs w:val="20"/>
              </w:rPr>
              <w:t>*</w:t>
            </w:r>
            <w:r w:rsidRPr="001702EA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702EA" w:rsidTr="001702EA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I. </w:t>
            </w:r>
            <w:proofErr w:type="gramStart"/>
            <w:r>
              <w:rPr>
                <w:rStyle w:val="a3"/>
                <w:color w:val="000000"/>
                <w:sz w:val="20"/>
                <w:szCs w:val="20"/>
              </w:rPr>
              <w:t>СОҒЛИ</w:t>
            </w:r>
            <w:proofErr w:type="gramEnd"/>
            <w:r>
              <w:rPr>
                <w:rStyle w:val="a3"/>
                <w:color w:val="000000"/>
                <w:sz w:val="20"/>
                <w:szCs w:val="20"/>
              </w:rPr>
              <w:t>ҚНИ САҚЛАШ ВА ИЖТИМОИЙ ТАЪМИНОТ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Амбулатория-поликлиника 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поликлиникалар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амбулаториялар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диспансерлар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станциялар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бўлимлар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касалларнинг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бутунлай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амбулатория </w:t>
            </w:r>
            <w:proofErr w:type="spellStart"/>
            <w:r>
              <w:rPr>
                <w:color w:val="000000"/>
                <w:sz w:val="20"/>
                <w:szCs w:val="20"/>
              </w:rPr>
              <w:t>қабулида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банд </w:t>
            </w:r>
            <w:proofErr w:type="spell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шифокорлари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‎5,5‎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Тиббий-меҳнат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эксперт </w:t>
            </w:r>
            <w:proofErr w:type="spellStart"/>
            <w:r>
              <w:rPr>
                <w:color w:val="000000"/>
                <w:sz w:val="20"/>
                <w:szCs w:val="20"/>
              </w:rPr>
              <w:t>комиссиялари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(ТМЭК)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тиббий-маслаҳат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комиссиялари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(ТМК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шифокорлари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‎5,5‎ 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Поликлиникаларнинг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стоматолог-</w:t>
            </w:r>
            <w:proofErr w:type="spellStart"/>
            <w:r>
              <w:rPr>
                <w:color w:val="000000"/>
                <w:sz w:val="20"/>
                <w:szCs w:val="20"/>
              </w:rPr>
              <w:t>шифокорлари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шифокорлари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шифокорлари-протезистлари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‎5,5‎ 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Бутун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  <w:szCs w:val="20"/>
              </w:rPr>
              <w:t>ваттдан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баланд </w:t>
            </w:r>
            <w:proofErr w:type="spellStart"/>
            <w:r>
              <w:rPr>
                <w:color w:val="000000"/>
                <w:sz w:val="20"/>
                <w:szCs w:val="20"/>
              </w:rPr>
              <w:t>қувватдаги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ультрақисқатўлқинли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частотадаги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тиббиёт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генераторлари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(УҚТЧ</w:t>
            </w:r>
            <w:proofErr w:type="gramStart"/>
            <w:r>
              <w:rPr>
                <w:color w:val="000000"/>
                <w:sz w:val="20"/>
                <w:szCs w:val="20"/>
              </w:rPr>
              <w:t>)д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 </w:t>
            </w:r>
            <w:proofErr w:type="spellStart"/>
            <w:r>
              <w:rPr>
                <w:color w:val="000000"/>
                <w:sz w:val="20"/>
                <w:szCs w:val="20"/>
              </w:rPr>
              <w:t>ишлайдиган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шифокорлар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тиббиёт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‎5,5‎ 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Анестезиология-реанимация </w:t>
            </w:r>
            <w:proofErr w:type="spellStart"/>
            <w:r>
              <w:rPr>
                <w:color w:val="000000"/>
                <w:sz w:val="20"/>
                <w:szCs w:val="20"/>
              </w:rPr>
              <w:t>бўлимлари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гуруҳлари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реанимация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интенсив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терапия </w:t>
            </w:r>
            <w:proofErr w:type="spellStart"/>
            <w:r>
              <w:rPr>
                <w:color w:val="000000"/>
                <w:sz w:val="20"/>
                <w:szCs w:val="20"/>
              </w:rPr>
              <w:t>палаталарининг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шифокори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ўрта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кичик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шифокор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-лаборант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лаборантдан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ташқари</w:t>
            </w:r>
            <w:proofErr w:type="spellEnd"/>
            <w:r>
              <w:rPr>
                <w:color w:val="000000"/>
                <w:sz w:val="20"/>
                <w:szCs w:val="20"/>
              </w:rPr>
              <w:t>). ‎‎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‎5,5‎ ‎</w:t>
            </w:r>
          </w:p>
        </w:tc>
      </w:tr>
      <w:tr w:rsidR="001702EA" w:rsidTr="001702EA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‎‎II . ХАЛҚ ТАЪЛИМИ, ОЛИЙ ВА ЎРТА МАХСУС ТАЪЛИМ ВА ПЕДАГОГ ХОДИМЛАР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1-4 </w:t>
            </w:r>
            <w:proofErr w:type="spellStart"/>
            <w:r>
              <w:rPr>
                <w:color w:val="000000"/>
                <w:sz w:val="20"/>
                <w:szCs w:val="20"/>
              </w:rPr>
              <w:t>синфлар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мактаб-интернатларнинг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ўқитувчи-логопедлари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ўқитувчи-дефектологлари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гимназиялар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лицейларнинг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логопедлик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мудирлари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‎18</w:t>
            </w:r>
            <w:hyperlink r:id="rId5" w:anchor="1553688" w:history="1">
              <w:r>
                <w:rPr>
                  <w:color w:val="008080"/>
                  <w:sz w:val="20"/>
                  <w:szCs w:val="20"/>
                </w:rPr>
                <w:t>**‎</w:t>
              </w:r>
            </w:hyperlink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мактаб-интернатларнинг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5-11(12) </w:t>
            </w:r>
            <w:proofErr w:type="spellStart"/>
            <w:r>
              <w:rPr>
                <w:color w:val="000000"/>
                <w:sz w:val="20"/>
                <w:szCs w:val="20"/>
              </w:rPr>
              <w:t>синфлари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гимназиялар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лицейлар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комбинатларининг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ўрта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-техника </w:t>
            </w:r>
            <w:proofErr w:type="spellStart"/>
            <w:r>
              <w:rPr>
                <w:color w:val="000000"/>
                <w:sz w:val="20"/>
                <w:szCs w:val="20"/>
              </w:rPr>
              <w:t>билим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умумтаълим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hyperlink r:id="rId6" w:anchor="1553688" w:history="1">
              <w:r>
                <w:rPr>
                  <w:color w:val="008080"/>
                  <w:sz w:val="20"/>
                  <w:szCs w:val="20"/>
                </w:rPr>
                <w:t>**‎</w:t>
              </w:r>
            </w:hyperlink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Ҳунар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-техника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таълими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ўқув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йилига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  <w:szCs w:val="20"/>
              </w:rPr>
              <w:t>соат</w:t>
            </w:r>
            <w:proofErr w:type="spellEnd"/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Ўрта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махсус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ўқув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юртлари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коллежлар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техникумларнинг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ихтисосликлари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</w:t>
            </w:r>
            <w:proofErr w:type="spellStart"/>
            <w:r>
              <w:rPr>
                <w:color w:val="000000"/>
                <w:sz w:val="20"/>
                <w:szCs w:val="20"/>
              </w:rPr>
              <w:t>йилига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800 </w:t>
            </w:r>
            <w:proofErr w:type="spellStart"/>
            <w:r>
              <w:rPr>
                <w:color w:val="000000"/>
                <w:sz w:val="20"/>
                <w:szCs w:val="20"/>
              </w:rPr>
              <w:t>соат</w:t>
            </w:r>
            <w:proofErr w:type="spellEnd"/>
            <w:r>
              <w:rPr>
                <w:color w:val="000000"/>
                <w:sz w:val="20"/>
                <w:szCs w:val="20"/>
              </w:rPr>
              <w:t>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Педагогика </w:t>
            </w:r>
            <w:proofErr w:type="spellStart"/>
            <w:r>
              <w:rPr>
                <w:color w:val="000000"/>
                <w:sz w:val="20"/>
                <w:szCs w:val="20"/>
              </w:rPr>
              <w:t>билим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юртлари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курслари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тўгараклар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секциялар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студиялар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дарсдан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ташқари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ташқари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бош</w:t>
            </w:r>
            <w:proofErr w:type="gramEnd"/>
            <w:r>
              <w:rPr>
                <w:color w:val="000000"/>
                <w:sz w:val="20"/>
                <w:szCs w:val="20"/>
              </w:rPr>
              <w:t>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раҳбарлари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чет тили, стенография, </w:t>
            </w:r>
            <w:proofErr w:type="spellStart"/>
            <w:r>
              <w:rPr>
                <w:color w:val="000000"/>
                <w:sz w:val="20"/>
                <w:szCs w:val="20"/>
              </w:rPr>
              <w:t>машинкада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курслари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компьютер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ўқитиш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мусиқий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бадиий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хореография </w:t>
            </w:r>
            <w:proofErr w:type="spellStart"/>
            <w:r>
              <w:rPr>
                <w:color w:val="000000"/>
                <w:sz w:val="20"/>
                <w:szCs w:val="20"/>
              </w:rPr>
              <w:t>таълими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3-5 </w:t>
            </w:r>
            <w:proofErr w:type="spellStart"/>
            <w:r>
              <w:rPr>
                <w:color w:val="000000"/>
                <w:sz w:val="20"/>
                <w:szCs w:val="20"/>
              </w:rPr>
              <w:t>синфлари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ўқитиш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етти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санъат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мусиқий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бадиий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хореография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5-7 </w:t>
            </w:r>
            <w:proofErr w:type="spellStart"/>
            <w:r>
              <w:rPr>
                <w:color w:val="000000"/>
                <w:sz w:val="20"/>
                <w:szCs w:val="20"/>
              </w:rPr>
              <w:t>синфлари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мусиқий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бадиий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мактаб-интернатлар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1-11 </w:t>
            </w:r>
            <w:proofErr w:type="spellStart"/>
            <w:r>
              <w:rPr>
                <w:color w:val="000000"/>
                <w:sz w:val="20"/>
                <w:szCs w:val="20"/>
              </w:rPr>
              <w:t>синфларининг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махсус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бадиий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тўрт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бадиий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таълим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1-4 </w:t>
            </w:r>
            <w:proofErr w:type="spellStart"/>
            <w:r>
              <w:rPr>
                <w:color w:val="000000"/>
                <w:sz w:val="20"/>
                <w:szCs w:val="20"/>
              </w:rPr>
              <w:t>синфлари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соғли</w:t>
            </w:r>
            <w:proofErr w:type="gramEnd"/>
            <w:r>
              <w:rPr>
                <w:color w:val="000000"/>
                <w:sz w:val="20"/>
                <w:szCs w:val="20"/>
              </w:rPr>
              <w:t>қни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меҳнат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ижтимоий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ўқитувчи-дефектологлари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логопедлари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умумтаълим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бошланғич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синфлари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мактабгача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муассасаларидаги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чет тили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машғулотлар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гуруҳлари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‎18</w:t>
            </w:r>
            <w:hyperlink r:id="rId7" w:anchor="1553688" w:history="1">
              <w:r>
                <w:rPr>
                  <w:color w:val="008080"/>
                  <w:sz w:val="20"/>
                  <w:szCs w:val="20"/>
                </w:rPr>
                <w:t>**</w:t>
              </w:r>
            </w:hyperlink>
            <w:r>
              <w:rPr>
                <w:color w:val="000000"/>
                <w:sz w:val="20"/>
                <w:szCs w:val="20"/>
              </w:rPr>
              <w:t>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Эшитиш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ўқитувчи-дефектологлари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ўйхатида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гуруҳига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лавозим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кўзда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мактаб-интернатларнинг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ўқитувчи-логопедлари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дефектологлари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яслилар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боғчалари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уйларининг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ўқитувчи-дефектологлари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ўқитувчи-логопедлари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ўқитиш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мусиқа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бадиий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хореография </w:t>
            </w:r>
            <w:proofErr w:type="spellStart"/>
            <w:r>
              <w:rPr>
                <w:color w:val="000000"/>
                <w:sz w:val="20"/>
                <w:szCs w:val="20"/>
              </w:rPr>
              <w:t>таълими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>
              <w:rPr>
                <w:color w:val="000000"/>
                <w:sz w:val="20"/>
                <w:szCs w:val="20"/>
              </w:rPr>
              <w:t>синфлари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ўқитиш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етти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мусиқа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бадиий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хореография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1-4 </w:t>
            </w:r>
            <w:proofErr w:type="spellStart"/>
            <w:r>
              <w:rPr>
                <w:color w:val="000000"/>
                <w:sz w:val="20"/>
                <w:szCs w:val="20"/>
              </w:rPr>
              <w:t>синфларининг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муси</w:t>
            </w:r>
            <w:proofErr w:type="gramEnd"/>
            <w:r>
              <w:rPr>
                <w:color w:val="000000"/>
                <w:sz w:val="20"/>
                <w:szCs w:val="20"/>
              </w:rPr>
              <w:t>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раҳбарлари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уйларининг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логопедлари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концертмейстерлар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аккомпаниаторлар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маданият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ташкилотчилари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‎24</w:t>
            </w:r>
            <w:hyperlink r:id="rId8" w:anchor="1553688" w:history="1">
              <w:r>
                <w:rPr>
                  <w:color w:val="008080"/>
                  <w:sz w:val="20"/>
                  <w:szCs w:val="20"/>
                </w:rPr>
                <w:t>**</w:t>
              </w:r>
            </w:hyperlink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Жисмоний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ақлий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ривожланишда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ўсмирлар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махсус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ўқув-тарбия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тарбиячилари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‎25</w:t>
            </w:r>
            <w:hyperlink r:id="rId9" w:anchor="1553688" w:history="1">
              <w:r>
                <w:rPr>
                  <w:color w:val="008080"/>
                  <w:sz w:val="20"/>
                  <w:szCs w:val="20"/>
                </w:rPr>
                <w:t>**</w:t>
              </w:r>
            </w:hyperlink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мактаб-интернатлар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уйларининг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махсус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-техника </w:t>
            </w:r>
            <w:proofErr w:type="spellStart"/>
            <w:r>
              <w:rPr>
                <w:color w:val="000000"/>
                <w:sz w:val="20"/>
                <w:szCs w:val="20"/>
              </w:rPr>
              <w:t>билим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ҳузуридаги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интернатлар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мактаб-интернатлар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уйлари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узайтирилган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гуруҳ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>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мусиқий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тарбияланувчилар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мактаблари</w:t>
            </w:r>
            <w:proofErr w:type="spellEnd"/>
            <w:r>
              <w:rPr>
                <w:color w:val="000000"/>
                <w:sz w:val="20"/>
                <w:szCs w:val="20"/>
              </w:rPr>
              <w:t>, санатория-</w:t>
            </w:r>
            <w:proofErr w:type="spellStart"/>
            <w:r>
              <w:rPr>
                <w:color w:val="000000"/>
                <w:sz w:val="20"/>
                <w:szCs w:val="20"/>
              </w:rPr>
              <w:t>ўрмон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алоҳида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муҳтож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ўсмирлар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махсус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соғлиқни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вояга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етмаганлар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қилиш-тарқатиш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жойлари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тарбия-меҳнат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колониялари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махсус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-техника </w:t>
            </w:r>
            <w:proofErr w:type="spellStart"/>
            <w:r>
              <w:rPr>
                <w:color w:val="000000"/>
                <w:sz w:val="20"/>
                <w:szCs w:val="20"/>
              </w:rPr>
              <w:t>билим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жисмоний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йўриқчилари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эшитиш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йўриқчилари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‎30</w:t>
            </w:r>
            <w:hyperlink r:id="rId10" w:anchor="1553688" w:history="1">
              <w:r>
                <w:rPr>
                  <w:color w:val="008080"/>
                  <w:sz w:val="20"/>
                  <w:szCs w:val="20"/>
                </w:rPr>
                <w:t>**</w:t>
              </w:r>
            </w:hyperlink>
            <w:r>
              <w:rPr>
                <w:color w:val="000000"/>
                <w:sz w:val="20"/>
                <w:szCs w:val="20"/>
              </w:rPr>
              <w:t>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?</w:t>
            </w:r>
            <w:proofErr w:type="spell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>мдаги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яслилари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мактабгача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уйлари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мактабдан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ташқари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тарбиячилари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тарбиячилари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‎36</w:t>
            </w:r>
            <w:hyperlink r:id="rId11" w:anchor="1553688" w:history="1">
              <w:r>
                <w:rPr>
                  <w:color w:val="008080"/>
                  <w:sz w:val="20"/>
                  <w:szCs w:val="20"/>
                </w:rPr>
                <w:t>**</w:t>
              </w:r>
            </w:hyperlink>
            <w:r>
              <w:rPr>
                <w:color w:val="000000"/>
                <w:sz w:val="20"/>
                <w:szCs w:val="20"/>
              </w:rPr>
              <w:t>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Сил </w:t>
            </w:r>
            <w:proofErr w:type="spellStart"/>
            <w:r>
              <w:rPr>
                <w:color w:val="000000"/>
                <w:sz w:val="20"/>
                <w:szCs w:val="20"/>
              </w:rPr>
              <w:t>касаллигининг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color w:val="000000"/>
                <w:sz w:val="20"/>
                <w:szCs w:val="20"/>
              </w:rPr>
              <w:t>ўхтаётган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хасталанган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ақлий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ривожланишда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ўқувчилар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тарбияланувчилар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тизими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руҳияти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шикастланган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вожатийлари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ёрдамчи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тарбиячилари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‎36</w:t>
            </w:r>
            <w:hyperlink r:id="rId12" w:anchor="1553688" w:history="1">
              <w:r>
                <w:rPr>
                  <w:color w:val="008080"/>
                  <w:sz w:val="20"/>
                  <w:szCs w:val="20"/>
                </w:rPr>
                <w:t>**</w:t>
              </w:r>
            </w:hyperlink>
            <w:r>
              <w:rPr>
                <w:color w:val="000000"/>
                <w:sz w:val="20"/>
                <w:szCs w:val="20"/>
              </w:rPr>
              <w:t>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Олий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юртлари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ўқитувчи-профессорлар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таркиби</w:t>
            </w:r>
            <w:proofErr w:type="spellEnd"/>
            <w:r>
              <w:rPr>
                <w:color w:val="000000"/>
                <w:sz w:val="20"/>
                <w:szCs w:val="20"/>
              </w:rPr>
              <w:t>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hyperlink r:id="rId13" w:anchor="1553688" w:history="1">
              <w:r>
                <w:rPr>
                  <w:color w:val="008080"/>
                  <w:sz w:val="20"/>
                  <w:szCs w:val="20"/>
                </w:rPr>
                <w:t>**</w:t>
              </w:r>
            </w:hyperlink>
            <w:r>
              <w:rPr>
                <w:color w:val="000000"/>
                <w:sz w:val="20"/>
                <w:szCs w:val="20"/>
              </w:rPr>
              <w:t>‎</w:t>
            </w:r>
          </w:p>
        </w:tc>
      </w:tr>
      <w:tr w:rsidR="001702EA" w:rsidTr="001702EA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‎‎‎III. ТЕЛЕВИДЕНИЕ ВА РАДИОЭШИТТИРИШ 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 </w:t>
            </w:r>
            <w:proofErr w:type="spellStart"/>
            <w:r>
              <w:rPr>
                <w:color w:val="000000"/>
                <w:sz w:val="20"/>
                <w:szCs w:val="20"/>
              </w:rPr>
              <w:t>телевидениеси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радиоэшиттириши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сухандони</w:t>
            </w:r>
            <w:proofErr w:type="spellEnd"/>
            <w:r>
              <w:rPr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Вилоят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телевидениеси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радиоэшиттириши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сухандони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 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6‎</w:t>
            </w:r>
          </w:p>
        </w:tc>
      </w:tr>
      <w:tr w:rsidR="001702EA" w:rsidTr="001702EA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19.‎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702EA" w:rsidRDefault="001702EA" w:rsidP="005C0D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Телевидение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радиоэшиттиришдаги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овоз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режиссёри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1702EA" w:rsidRDefault="001702EA" w:rsidP="001702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6‎</w:t>
            </w:r>
          </w:p>
        </w:tc>
      </w:tr>
    </w:tbl>
    <w:p w:rsidR="001702EA" w:rsidRDefault="001702EA" w:rsidP="001702EA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uz-Cyrl-UZ"/>
        </w:rPr>
      </w:pPr>
      <w:bookmarkStart w:id="7" w:name="1903001"/>
    </w:p>
    <w:p w:rsidR="001702EA" w:rsidRPr="001702EA" w:rsidRDefault="001702EA" w:rsidP="001702EA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uz-Cyrl-UZ"/>
        </w:rPr>
      </w:pPr>
      <w:r w:rsidRPr="001702EA">
        <w:rPr>
          <w:rFonts w:eastAsia="Times New Roman"/>
          <w:color w:val="339966"/>
          <w:sz w:val="20"/>
          <w:szCs w:val="20"/>
          <w:lang w:val="uz-Cyrl-UZ"/>
        </w:rPr>
        <w:t xml:space="preserve">* ‎Беш кунлик иш ҳафтасида ҳисобланаётган давр (ҳафта, ой, йил) учун иш вақти меъёри сақланади. </w:t>
      </w:r>
      <w:bookmarkEnd w:id="7"/>
    </w:p>
    <w:p w:rsidR="001702EA" w:rsidRDefault="001702EA" w:rsidP="001702EA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8" w:name="1903002"/>
      <w:r>
        <w:rPr>
          <w:rFonts w:eastAsia="Times New Roman"/>
          <w:color w:val="339966"/>
          <w:sz w:val="20"/>
          <w:szCs w:val="20"/>
        </w:rPr>
        <w:t xml:space="preserve">** </w:t>
      </w:r>
      <w:proofErr w:type="spellStart"/>
      <w:r>
        <w:rPr>
          <w:rFonts w:eastAsia="Times New Roman"/>
          <w:color w:val="339966"/>
          <w:sz w:val="20"/>
          <w:szCs w:val="20"/>
        </w:rPr>
        <w:t>Иш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ҳафтаси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муддати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, </w:t>
      </w:r>
      <w:proofErr w:type="spellStart"/>
      <w:r>
        <w:rPr>
          <w:rFonts w:eastAsia="Times New Roman"/>
          <w:color w:val="339966"/>
          <w:sz w:val="20"/>
          <w:szCs w:val="20"/>
        </w:rPr>
        <w:t>соатларда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. </w:t>
      </w:r>
      <w:bookmarkEnd w:id="8"/>
    </w:p>
    <w:p w:rsidR="001702EA" w:rsidRDefault="001702EA" w:rsidP="001702EA">
      <w:pPr>
        <w:shd w:val="clear" w:color="auto" w:fill="FFFFFF"/>
        <w:ind w:firstLine="851"/>
        <w:jc w:val="both"/>
        <w:rPr>
          <w:rFonts w:eastAsia="Times New Roman"/>
          <w:i/>
          <w:iCs/>
          <w:color w:val="800000"/>
          <w:sz w:val="22"/>
          <w:szCs w:val="22"/>
          <w:lang w:val="uz-Cyrl-UZ"/>
        </w:rPr>
      </w:pPr>
      <w:bookmarkStart w:id="9" w:name="1903004"/>
    </w:p>
    <w:p w:rsidR="001702EA" w:rsidRPr="001702EA" w:rsidRDefault="001702EA" w:rsidP="001702EA">
      <w:pPr>
        <w:shd w:val="clear" w:color="auto" w:fill="FFFFFF"/>
        <w:ind w:firstLine="851"/>
        <w:jc w:val="both"/>
        <w:rPr>
          <w:rFonts w:eastAsia="Times New Roman"/>
          <w:i/>
          <w:iCs/>
          <w:color w:val="800000"/>
          <w:sz w:val="22"/>
          <w:szCs w:val="22"/>
          <w:lang w:val="uz-Cyrl-UZ"/>
        </w:rPr>
      </w:pPr>
      <w:r w:rsidRPr="001702EA">
        <w:rPr>
          <w:rFonts w:eastAsia="Times New Roman"/>
          <w:i/>
          <w:iCs/>
          <w:color w:val="800000"/>
          <w:sz w:val="22"/>
          <w:szCs w:val="22"/>
          <w:lang w:val="uz-Cyrl-UZ"/>
        </w:rPr>
        <w:t xml:space="preserve">(4-илова Ўзбекистон Республикаси Вазирлар Маҳкамасининг 2002 йил 31 октябрдаги 375-сонли </w:t>
      </w:r>
      <w:bookmarkEnd w:id="9"/>
      <w:r>
        <w:rPr>
          <w:rFonts w:eastAsia="Times New Roman"/>
          <w:i/>
          <w:iCs/>
          <w:color w:val="800000"/>
          <w:sz w:val="22"/>
          <w:szCs w:val="22"/>
        </w:rPr>
        <w:fldChar w:fldCharType="begin"/>
      </w:r>
      <w:r w:rsidRPr="001702EA">
        <w:rPr>
          <w:rFonts w:eastAsia="Times New Roman"/>
          <w:i/>
          <w:iCs/>
          <w:color w:val="800000"/>
          <w:sz w:val="22"/>
          <w:szCs w:val="22"/>
          <w:lang w:val="uz-Cyrl-UZ"/>
        </w:rPr>
        <w:instrText xml:space="preserve"> HYPERLINK "326540?ONDATE=31.10.2002 00" \l "326582" </w:instrText>
      </w:r>
      <w:r>
        <w:rPr>
          <w:rFonts w:eastAsia="Times New Roman"/>
          <w:i/>
          <w:iCs/>
          <w:color w:val="800000"/>
          <w:sz w:val="22"/>
          <w:szCs w:val="22"/>
        </w:rPr>
        <w:fldChar w:fldCharType="separate"/>
      </w:r>
      <w:r w:rsidRPr="001702EA">
        <w:rPr>
          <w:rFonts w:eastAsia="Times New Roman"/>
          <w:i/>
          <w:iCs/>
          <w:color w:val="008080"/>
          <w:sz w:val="22"/>
          <w:szCs w:val="22"/>
          <w:lang w:val="uz-Cyrl-UZ"/>
        </w:rPr>
        <w:t>қарори</w:t>
      </w:r>
      <w:r>
        <w:rPr>
          <w:rFonts w:eastAsia="Times New Roman"/>
          <w:i/>
          <w:iCs/>
          <w:color w:val="800000"/>
          <w:sz w:val="22"/>
          <w:szCs w:val="22"/>
        </w:rPr>
        <w:fldChar w:fldCharType="end"/>
      </w:r>
      <w:r w:rsidRPr="001702EA">
        <w:rPr>
          <w:rFonts w:eastAsia="Times New Roman"/>
          <w:i/>
          <w:iCs/>
          <w:color w:val="800000"/>
          <w:sz w:val="22"/>
          <w:szCs w:val="22"/>
          <w:lang w:val="uz-Cyrl-UZ"/>
        </w:rPr>
        <w:t xml:space="preserve"> таҳририда — ЎР ҚҲТ, 2002 й., 20-сон, 161-модда)</w:t>
      </w:r>
    </w:p>
    <w:p w:rsidR="00BF6448" w:rsidRPr="001702EA" w:rsidRDefault="00BF6448">
      <w:pPr>
        <w:rPr>
          <w:lang w:val="uz-Cyrl-UZ"/>
        </w:rPr>
      </w:pPr>
    </w:p>
    <w:sectPr w:rsidR="00BF6448" w:rsidRPr="0017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EA"/>
    <w:rsid w:val="001702EA"/>
    <w:rsid w:val="00355B90"/>
    <w:rsid w:val="00B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517034" TargetMode="External"/><Relationship Id="rId13" Type="http://schemas.openxmlformats.org/officeDocument/2006/relationships/hyperlink" Target="517034" TargetMode="External"/><Relationship Id="rId3" Type="http://schemas.openxmlformats.org/officeDocument/2006/relationships/settings" Target="settings.xml"/><Relationship Id="rId7" Type="http://schemas.openxmlformats.org/officeDocument/2006/relationships/hyperlink" Target="517034" TargetMode="External"/><Relationship Id="rId12" Type="http://schemas.openxmlformats.org/officeDocument/2006/relationships/hyperlink" Target="5170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517034" TargetMode="External"/><Relationship Id="rId11" Type="http://schemas.openxmlformats.org/officeDocument/2006/relationships/hyperlink" Target="517034" TargetMode="External"/><Relationship Id="rId5" Type="http://schemas.openxmlformats.org/officeDocument/2006/relationships/hyperlink" Target="517034" TargetMode="External"/><Relationship Id="rId15" Type="http://schemas.openxmlformats.org/officeDocument/2006/relationships/theme" Target="theme/theme1.xml"/><Relationship Id="rId10" Type="http://schemas.openxmlformats.org/officeDocument/2006/relationships/hyperlink" Target="517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5170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Xushnudbek</dc:creator>
  <cp:lastModifiedBy>Xushnudbek</cp:lastModifiedBy>
  <cp:revision>1</cp:revision>
  <dcterms:created xsi:type="dcterms:W3CDTF">2015-06-05T15:10:00Z</dcterms:created>
  <dcterms:modified xsi:type="dcterms:W3CDTF">2015-06-05T15:13:00Z</dcterms:modified>
</cp:coreProperties>
</file>