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F45DB">
      <w:pPr>
        <w:rPr>
          <w:rFonts w:eastAsia="Times New Roman"/>
        </w:rPr>
      </w:pPr>
      <w:bookmarkStart w:id="0" w:name="_GoBack"/>
      <w:bookmarkEnd w:id="0"/>
      <w:r>
        <w:rPr>
          <w:rFonts w:ascii="Tahoma" w:eastAsia="Times New Roman" w:hAnsi="Tahoma" w:cs="Tahoma"/>
        </w:rPr>
        <w:t>﻿</w:t>
      </w:r>
    </w:p>
    <w:p w:rsidR="00000000" w:rsidRDefault="007F45DB">
      <w:pPr>
        <w:shd w:val="clear" w:color="auto" w:fill="FFFFFF"/>
        <w:divId w:val="1443258464"/>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000000" w:rsidRDefault="007F45DB">
      <w:pPr>
        <w:shd w:val="clear" w:color="auto" w:fill="FFFFFF"/>
        <w:divId w:val="1327249244"/>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01.00.00.00 Конституциявий тузум / 01.08.00.00 Ўзбекистон Республикаси Олий Мажлиси / 01.08.01.00 Умумий қоидалар. Олий Мажлисга сайловлар / 01.08.01.04 Парламент назорати]</w:t>
      </w:r>
    </w:p>
    <w:p w:rsidR="00000000" w:rsidRDefault="007F45DB">
      <w:pPr>
        <w:shd w:val="clear" w:color="auto" w:fill="FFFFFF"/>
        <w:divId w:val="7346676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000000" w:rsidRDefault="007F45DB">
      <w:pPr>
        <w:shd w:val="clear" w:color="auto" w:fill="FFFFFF"/>
        <w:divId w:val="169117870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Давлат ва жамият қурилиши / Давлат ҳокимияти органлари. Давлат ва хўжалик бошқаруви органлари]</w:t>
      </w:r>
    </w:p>
    <w:p w:rsidR="00000000" w:rsidRDefault="007F45DB">
      <w:pPr>
        <w:shd w:val="clear" w:color="auto" w:fill="FFFFFF"/>
        <w:jc w:val="center"/>
        <w:divId w:val="569535300"/>
        <w:rPr>
          <w:rFonts w:eastAsia="Times New Roman"/>
          <w:caps/>
          <w:color w:val="000080"/>
        </w:rPr>
      </w:pPr>
      <w:r>
        <w:rPr>
          <w:rFonts w:eastAsia="Times New Roman"/>
          <w:caps/>
          <w:color w:val="000080"/>
        </w:rPr>
        <w:t>Ўзбекистон Республикаси Олий Мажлиси Қонунчилик палатаси Кенгашининг ва Ўзбекистон Республикаси Олий Мажлиси Сенати Кенгашининг</w:t>
      </w:r>
    </w:p>
    <w:p w:rsidR="00000000" w:rsidRDefault="007F45DB">
      <w:pPr>
        <w:shd w:val="clear" w:color="auto" w:fill="FFFFFF"/>
        <w:jc w:val="center"/>
        <w:divId w:val="569535300"/>
        <w:rPr>
          <w:rFonts w:eastAsia="Times New Roman"/>
          <w:caps/>
          <w:color w:val="000080"/>
        </w:rPr>
      </w:pPr>
      <w:r>
        <w:rPr>
          <w:rFonts w:eastAsia="Times New Roman"/>
          <w:caps/>
          <w:color w:val="000080"/>
        </w:rPr>
        <w:t>Қўшма қарори</w:t>
      </w:r>
    </w:p>
    <w:p w:rsidR="00000000" w:rsidRDefault="007F45DB">
      <w:pPr>
        <w:shd w:val="clear" w:color="auto" w:fill="FFFFFF"/>
        <w:jc w:val="center"/>
        <w:divId w:val="1462308120"/>
        <w:rPr>
          <w:rFonts w:eastAsia="Times New Roman"/>
          <w:b/>
          <w:bCs/>
          <w:caps/>
          <w:color w:val="000080"/>
        </w:rPr>
      </w:pPr>
      <w:r>
        <w:rPr>
          <w:rFonts w:eastAsia="Times New Roman"/>
          <w:b/>
          <w:bCs/>
          <w:caps/>
          <w:color w:val="000080"/>
        </w:rPr>
        <w:t>Коррупцияга қарши ку</w:t>
      </w:r>
      <w:r>
        <w:rPr>
          <w:rFonts w:eastAsia="Times New Roman"/>
          <w:b/>
          <w:bCs/>
          <w:caps/>
          <w:color w:val="000080"/>
        </w:rPr>
        <w:t>рашиш соҳасида парламент назорати самарадорлигини ошириш чора-тадбирлари тўғрисида</w:t>
      </w:r>
    </w:p>
    <w:p w:rsidR="00000000" w:rsidRDefault="007F45DB">
      <w:pPr>
        <w:shd w:val="clear" w:color="auto" w:fill="FFFFFF"/>
        <w:ind w:firstLine="851"/>
        <w:jc w:val="both"/>
        <w:divId w:val="569535300"/>
        <w:rPr>
          <w:rFonts w:eastAsia="Times New Roman"/>
          <w:color w:val="000000"/>
        </w:rPr>
      </w:pPr>
      <w:r>
        <w:rPr>
          <w:rFonts w:eastAsia="Times New Roman"/>
          <w:color w:val="000000"/>
        </w:rPr>
        <w:t>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тўғрисида»ги П</w:t>
      </w:r>
      <w:r>
        <w:rPr>
          <w:rFonts w:eastAsia="Times New Roman"/>
          <w:color w:val="000000"/>
        </w:rPr>
        <w:t xml:space="preserve">Ф-5729-сонли </w:t>
      </w:r>
      <w:hyperlink r:id="rId4" w:history="1">
        <w:r>
          <w:rPr>
            <w:rFonts w:eastAsia="Times New Roman"/>
            <w:color w:val="008080"/>
          </w:rPr>
          <w:t>Фармонида</w:t>
        </w:r>
      </w:hyperlink>
      <w:r>
        <w:rPr>
          <w:rFonts w:eastAsia="Times New Roman"/>
          <w:color w:val="000000"/>
        </w:rPr>
        <w:t xml:space="preserve"> белгиланган вазифалар ўз вақтида ва тўлиқ амалга оширилишини таъминлаш, коррупцияга қарши курашиш соҳасида парламент назорати самарадорлигини ошириш мақсадида Ўзбекистон Республикаси Олий Ма</w:t>
      </w:r>
      <w:r>
        <w:rPr>
          <w:rFonts w:eastAsia="Times New Roman"/>
          <w:color w:val="000000"/>
        </w:rPr>
        <w:t>жлиси Қонунчилик палатасининг Кенгаши ва Ўзбекистон Республикаси Олий Мажлиси Сенатининг Кенгаши қарор қиладилар:</w:t>
      </w:r>
    </w:p>
    <w:p w:rsidR="00000000" w:rsidRDefault="007F45DB">
      <w:pPr>
        <w:shd w:val="clear" w:color="auto" w:fill="FFFFFF"/>
        <w:ind w:firstLine="851"/>
        <w:jc w:val="both"/>
        <w:divId w:val="569535300"/>
        <w:rPr>
          <w:rFonts w:eastAsia="Times New Roman"/>
          <w:color w:val="000000"/>
        </w:rPr>
      </w:pPr>
      <w:r>
        <w:rPr>
          <w:rFonts w:eastAsia="Times New Roman"/>
          <w:color w:val="000000"/>
        </w:rPr>
        <w:t>1. Ўзбекистон Республикаси Президентининг 2019 йил 27 майдаги ПФ-5729-сонли Фармони билан тасдиқланган 2019-2020 йилларда коррупцияга қарши ку</w:t>
      </w:r>
      <w:r>
        <w:rPr>
          <w:rFonts w:eastAsia="Times New Roman"/>
          <w:color w:val="000000"/>
        </w:rPr>
        <w:t xml:space="preserve">рашиш </w:t>
      </w:r>
      <w:hyperlink r:id="rId5" w:anchor="4356031" w:history="1">
        <w:r>
          <w:rPr>
            <w:rFonts w:eastAsia="Times New Roman"/>
            <w:color w:val="008080"/>
          </w:rPr>
          <w:t>Давлат дастурининг</w:t>
        </w:r>
      </w:hyperlink>
      <w:r>
        <w:rPr>
          <w:rFonts w:eastAsia="Times New Roman"/>
          <w:color w:val="000000"/>
        </w:rPr>
        <w:t xml:space="preserve"> 30-бандига асосан Коррупцияга қарши курашиш бўйича республика идоралараро комиссияси томонидан ишлаб чиқилган Иқтисодий ҳамкорлик ва тараққиёт ташкилотининг тавсияларини бажар</w:t>
      </w:r>
      <w:r>
        <w:rPr>
          <w:rFonts w:eastAsia="Times New Roman"/>
          <w:color w:val="000000"/>
        </w:rPr>
        <w:t>иш бўйича «Йўл харитаси» маълумот учун қабул қилинсин.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 xml:space="preserve">2. Ўзбекистон Республикаси Олий Мажлиси Қонунчилик палатасининг Коррупцияга қарши курашиш ва суд-ҳуқуқ масалалари қўмитаси ҳамда Ўзбекистон Республикаси Олий Мажлиси Сенатининг Суд-ҳуқуқ масалалари ва </w:t>
      </w:r>
      <w:r>
        <w:rPr>
          <w:rFonts w:eastAsia="Times New Roman"/>
          <w:color w:val="000000"/>
        </w:rPr>
        <w:t>коррупцияга қарши курашиш қўмитаси:</w:t>
      </w:r>
    </w:p>
    <w:p w:rsidR="00000000" w:rsidRDefault="007F45DB">
      <w:pPr>
        <w:shd w:val="clear" w:color="auto" w:fill="FFFFFF"/>
        <w:ind w:firstLine="851"/>
        <w:jc w:val="both"/>
        <w:divId w:val="569535300"/>
        <w:rPr>
          <w:rFonts w:eastAsia="Times New Roman"/>
          <w:color w:val="000000"/>
        </w:rPr>
      </w:pPr>
      <w:r>
        <w:rPr>
          <w:rFonts w:eastAsia="Times New Roman"/>
          <w:color w:val="000000"/>
        </w:rPr>
        <w:t>қонун ҳужжатларини таҳлил қилиш, уларда коррупцияга шароит яратадиган қоида ва нормаларни аниқлаш ҳамда уларни бартараф қилиш, коррупцияга қарши курашиш соҳасида ҳуқуқни қўллаш амалиётини такомиллаштириш бўйича таклифлар</w:t>
      </w:r>
      <w:r>
        <w:rPr>
          <w:rFonts w:eastAsia="Times New Roman"/>
          <w:color w:val="000000"/>
        </w:rPr>
        <w:t xml:space="preserve"> ишлаб чиқсин;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давлат органлари раҳбарларининг ахборотларини эшитишни ташкил қилсин;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давлат органларининг коррупцияга қарши курашиш соҳасидаги ҳуқуқни қўллаш амалиётини тизимли равишда ўргансин;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коррупцияга қарши курашиш бўйича давлат органлари томонидан а</w:t>
      </w:r>
      <w:r>
        <w:rPr>
          <w:rFonts w:eastAsia="Times New Roman"/>
          <w:color w:val="000000"/>
        </w:rPr>
        <w:t>малга ошириладиган идоравий чоралар самарадорлигини баҳолаб борсин;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Ўзбекистон Республикаси Олий Мажлиси Қонунчилик палатасининг Одоб комиссияси ҳамда Ўзбекистон Республикаси Олий Мажлиси Сенатининг Регламент ва одоб комиссияси 2019 йил 1 декабрга қадар ил</w:t>
      </w:r>
      <w:r>
        <w:rPr>
          <w:rFonts w:eastAsia="Times New Roman"/>
          <w:color w:val="000000"/>
        </w:rPr>
        <w:t>ғор хорижий мамлакатлар тажрибасини ўрганган ҳолда парламент аъзолари фаолиятида манфаатлар тўқнашувининг олдини олиш масалалари бўйича қонун ҳужжатларини такомиллаштириш юзасидан таклифлар ишлаб чиқсин.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3. Ўзбекистон Республикаси Вазирлар Маҳкамаси:</w:t>
      </w:r>
    </w:p>
    <w:p w:rsidR="00000000" w:rsidRDefault="007F45DB">
      <w:pPr>
        <w:shd w:val="clear" w:color="auto" w:fill="FFFFFF"/>
        <w:ind w:firstLine="851"/>
        <w:jc w:val="both"/>
        <w:divId w:val="569535300"/>
        <w:rPr>
          <w:rFonts w:eastAsia="Times New Roman"/>
          <w:color w:val="000000"/>
        </w:rPr>
      </w:pPr>
      <w:r>
        <w:rPr>
          <w:rFonts w:eastAsia="Times New Roman"/>
          <w:color w:val="000000"/>
        </w:rPr>
        <w:t>ҳар б</w:t>
      </w:r>
      <w:r>
        <w:rPr>
          <w:rFonts w:eastAsia="Times New Roman"/>
          <w:color w:val="000000"/>
        </w:rPr>
        <w:t>ир давлат бошқаруви органларида жамоатчилик томонидан назорат қилинадиган коррупцияга қарши курашиш бўйича идоравий дастурларни ишлаб чиқилишини таъминлаш;</w:t>
      </w:r>
    </w:p>
    <w:p w:rsidR="00000000" w:rsidRDefault="007F45DB">
      <w:pPr>
        <w:shd w:val="clear" w:color="auto" w:fill="FFFFFF"/>
        <w:ind w:firstLine="851"/>
        <w:jc w:val="both"/>
        <w:divId w:val="569535300"/>
        <w:rPr>
          <w:rFonts w:eastAsia="Times New Roman"/>
          <w:color w:val="000000"/>
        </w:rPr>
      </w:pPr>
      <w:r>
        <w:rPr>
          <w:rFonts w:eastAsia="Times New Roman"/>
          <w:color w:val="000000"/>
        </w:rPr>
        <w:t xml:space="preserve">коррупция ҳолатларига олиб келиши мумкин бўлган ҳар қандай хизматларни рақамлаштириш, уларни «ягона </w:t>
      </w:r>
      <w:r>
        <w:rPr>
          <w:rFonts w:eastAsia="Times New Roman"/>
          <w:color w:val="000000"/>
        </w:rPr>
        <w:t>дарча» тамойили асосида бериш ва давлат хизматлари марказларига ўтказиш;</w:t>
      </w:r>
    </w:p>
    <w:p w:rsidR="00000000" w:rsidRDefault="007F45DB">
      <w:pPr>
        <w:shd w:val="clear" w:color="auto" w:fill="FFFFFF"/>
        <w:ind w:firstLine="851"/>
        <w:jc w:val="both"/>
        <w:divId w:val="569535300"/>
        <w:rPr>
          <w:rFonts w:eastAsia="Times New Roman"/>
          <w:color w:val="000000"/>
        </w:rPr>
      </w:pPr>
      <w:r>
        <w:rPr>
          <w:rFonts w:eastAsia="Times New Roman"/>
          <w:color w:val="000000"/>
        </w:rPr>
        <w:t>фуқароларнинг мурожаатларидан кўтарилаётган масалалардан келиб чиқиб ва коррупцияга шароит яратувчи ҳолатларни ўрганган ҳолда, уларни бартараф этишга қаратилган таклифлар ишлаб чиқиш;</w:t>
      </w:r>
    </w:p>
    <w:p w:rsidR="00000000" w:rsidRDefault="007F45DB">
      <w:pPr>
        <w:shd w:val="clear" w:color="auto" w:fill="FFFFFF"/>
        <w:ind w:firstLine="851"/>
        <w:jc w:val="both"/>
        <w:divId w:val="569535300"/>
        <w:rPr>
          <w:rFonts w:eastAsia="Times New Roman"/>
          <w:color w:val="000000"/>
        </w:rPr>
      </w:pPr>
      <w:r>
        <w:rPr>
          <w:rFonts w:eastAsia="Times New Roman"/>
          <w:color w:val="000000"/>
        </w:rPr>
        <w:t>коррупция ҳолатларини аниқлашга ёрдам кўрсатувчи «холис фуқаро» тизимини жорий этиш, бунда жамоатчилик назорати ва нодавлат нотижорат ташкилотларининг ролини ошириш;</w:t>
      </w:r>
    </w:p>
    <w:p w:rsidR="00000000" w:rsidRDefault="007F45DB">
      <w:pPr>
        <w:shd w:val="clear" w:color="auto" w:fill="FFFFFF"/>
        <w:ind w:firstLine="851"/>
        <w:jc w:val="both"/>
        <w:divId w:val="569535300"/>
        <w:rPr>
          <w:rFonts w:eastAsia="Times New Roman"/>
          <w:color w:val="000000"/>
        </w:rPr>
      </w:pPr>
      <w:r>
        <w:rPr>
          <w:rFonts w:eastAsia="Times New Roman"/>
          <w:color w:val="000000"/>
        </w:rPr>
        <w:t>ҳуқуқбузарликлар ва уларга шароит яратувчи омиллар ҳақида хабар беришга имконият яратувчи</w:t>
      </w:r>
      <w:r>
        <w:rPr>
          <w:rFonts w:eastAsia="Times New Roman"/>
          <w:color w:val="000000"/>
        </w:rPr>
        <w:t xml:space="preserve"> ягона портални ташкил этиш ва ишга тушириш;</w:t>
      </w:r>
    </w:p>
    <w:p w:rsidR="00000000" w:rsidRDefault="007F45DB">
      <w:pPr>
        <w:shd w:val="clear" w:color="auto" w:fill="FFFFFF"/>
        <w:ind w:firstLine="851"/>
        <w:jc w:val="both"/>
        <w:divId w:val="569535300"/>
        <w:rPr>
          <w:rFonts w:eastAsia="Times New Roman"/>
          <w:color w:val="000000"/>
        </w:rPr>
      </w:pPr>
      <w:r>
        <w:rPr>
          <w:rFonts w:eastAsia="Times New Roman"/>
          <w:color w:val="000000"/>
        </w:rPr>
        <w:t>давлат ва хусусий сектор ўртасидаги муносабатларнинг шаффофлигини таъминлаш;</w:t>
      </w:r>
    </w:p>
    <w:p w:rsidR="00000000" w:rsidRDefault="007F45DB">
      <w:pPr>
        <w:shd w:val="clear" w:color="auto" w:fill="FFFFFF"/>
        <w:ind w:firstLine="851"/>
        <w:jc w:val="both"/>
        <w:divId w:val="569535300"/>
        <w:rPr>
          <w:rFonts w:eastAsia="Times New Roman"/>
          <w:color w:val="000000"/>
        </w:rPr>
      </w:pPr>
      <w:r>
        <w:rPr>
          <w:rFonts w:eastAsia="Times New Roman"/>
          <w:color w:val="000000"/>
        </w:rPr>
        <w:lastRenderedPageBreak/>
        <w:t>пора берилиши ҳақида хабар қилган давлат хизматчилари, шунингдек коррупция ва бошқа ҳуқуқбузарликлар ҳақида хабар берган шахсларни рағ</w:t>
      </w:r>
      <w:r>
        <w:rPr>
          <w:rFonts w:eastAsia="Times New Roman"/>
          <w:color w:val="000000"/>
        </w:rPr>
        <w:t>батлантириш механизмларини ишлаб чиқиш;</w:t>
      </w:r>
    </w:p>
    <w:p w:rsidR="00000000" w:rsidRDefault="007F45DB">
      <w:pPr>
        <w:shd w:val="clear" w:color="auto" w:fill="FFFFFF"/>
        <w:ind w:firstLine="851"/>
        <w:jc w:val="both"/>
        <w:divId w:val="569535300"/>
        <w:rPr>
          <w:rFonts w:eastAsia="Times New Roman"/>
          <w:color w:val="000000"/>
        </w:rPr>
      </w:pPr>
      <w:r>
        <w:rPr>
          <w:rFonts w:eastAsia="Times New Roman"/>
          <w:color w:val="000000"/>
        </w:rPr>
        <w:t>коррупцияга қарши курашиш бўйича халқаро рейтингларда Ўзбекистоннинг ўрнини яхшилаш, халқаро ташкилотлар, шу жумладан Иқтисодий ҳамкорлик ва тараққиёт ташкилотининг коррупциянинг олдини олишга оид тавсияларини ҳар томонлама кўриб чиқиш бўйича тегишли чора-</w:t>
      </w:r>
      <w:r>
        <w:rPr>
          <w:rFonts w:eastAsia="Times New Roman"/>
          <w:color w:val="000000"/>
        </w:rPr>
        <w:t>тадбирларни амалга оширсин.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4. «Коррупциясиз соҳа» лойиҳаси бўйича амалга оширилган ишлар ҳолатини ўрганиш мақсадида жорий йилнинг октябрь-ноябрь ойларида:</w:t>
      </w:r>
    </w:p>
    <w:p w:rsidR="00000000" w:rsidRDefault="007F45DB">
      <w:pPr>
        <w:shd w:val="clear" w:color="auto" w:fill="FFFFFF"/>
        <w:ind w:firstLine="851"/>
        <w:jc w:val="both"/>
        <w:divId w:val="569535300"/>
        <w:rPr>
          <w:rFonts w:eastAsia="Times New Roman"/>
          <w:color w:val="000000"/>
        </w:rPr>
      </w:pPr>
      <w:r>
        <w:rPr>
          <w:rFonts w:eastAsia="Times New Roman"/>
          <w:color w:val="000000"/>
        </w:rPr>
        <w:t>Ўзбекистон Республикаси Олий Мажлиси Сенатининг Суд-ҳуқуқ масалалари ва коррупцияга қарши курашиш қў</w:t>
      </w:r>
      <w:r>
        <w:rPr>
          <w:rFonts w:eastAsia="Times New Roman"/>
          <w:color w:val="000000"/>
        </w:rPr>
        <w:t>митаси Ўзбекистон Республикаси Олий ва ўрта махсус таълим вазирлиги;</w:t>
      </w:r>
    </w:p>
    <w:p w:rsidR="00000000" w:rsidRDefault="007F45DB">
      <w:pPr>
        <w:shd w:val="clear" w:color="auto" w:fill="FFFFFF"/>
        <w:ind w:firstLine="851"/>
        <w:jc w:val="both"/>
        <w:divId w:val="569535300"/>
        <w:rPr>
          <w:rFonts w:eastAsia="Times New Roman"/>
          <w:color w:val="000000"/>
        </w:rPr>
      </w:pPr>
      <w:r>
        <w:rPr>
          <w:rFonts w:eastAsia="Times New Roman"/>
          <w:color w:val="000000"/>
        </w:rPr>
        <w:t>Ўзбекистон Республикаси Олий Мажлиси Қонунчилик палатасининг Коррупцияга қарши курашиш ва суд-ҳуқуқ масалалари қўмитаси Ўзбекистон Республикаси Қурилиш вазирлиги раҳбарларининг ахборотини</w:t>
      </w:r>
      <w:r>
        <w:rPr>
          <w:rFonts w:eastAsia="Times New Roman"/>
          <w:color w:val="000000"/>
        </w:rPr>
        <w:t xml:space="preserve"> эшитсин.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5. Ўзбекистон Республикаси Олий Мажлиси Қонунчилик палатасининг Коррупцияга қарши курашиш ва суд-ҳуқуқ масалалари қўмитаси ҳамда Ўзбекистон Республикаси Олий Мажлиси Сенатининг Суд-ҳуқуқ масалалари ва коррупцияга қарши курашиш қўмитаси ҳар бир эш</w:t>
      </w:r>
      <w:r>
        <w:rPr>
          <w:rFonts w:eastAsia="Times New Roman"/>
          <w:color w:val="000000"/>
        </w:rPr>
        <w:t>итув якуни бўйича вазирликлар, давлат қўмиталари ва бошқа давлат бошқаруви органлари фаолиятидаги коррупция аломатларига барҳам бериш ҳамда уларга қарши кескин кураш олиб боришда қатъий чоралар кўришни назарда тутадиган таклиф ва тавсиялар ишлаб чиқсин.</w:t>
      </w:r>
    </w:p>
    <w:p w:rsidR="00000000" w:rsidRDefault="007F45DB">
      <w:pPr>
        <w:shd w:val="clear" w:color="auto" w:fill="FFFFFF"/>
        <w:ind w:firstLine="851"/>
        <w:jc w:val="both"/>
        <w:divId w:val="569535300"/>
        <w:rPr>
          <w:rFonts w:eastAsia="Times New Roman"/>
          <w:color w:val="000000"/>
        </w:rPr>
      </w:pPr>
      <w:r>
        <w:rPr>
          <w:rFonts w:eastAsia="Times New Roman"/>
          <w:color w:val="000000"/>
        </w:rPr>
        <w:t>6.</w:t>
      </w:r>
      <w:r>
        <w:rPr>
          <w:rFonts w:eastAsia="Times New Roman"/>
          <w:color w:val="000000"/>
        </w:rPr>
        <w:t xml:space="preserve"> Мазкур Қўшма қарорнинг ижросини назорат қилиш Ўзбекистон Республикаси Олий Мажлиси Қонунчилик палатаси Спикерининг ўринбосари Н. Умаров ва Ўзбекистон Республикаси Олий Мажлиси Сенати Раисининг ўринбосари С. Артикова зиммасига юклатилсин.</w:t>
      </w:r>
    </w:p>
    <w:p w:rsidR="00000000" w:rsidRDefault="007F45DB">
      <w:pPr>
        <w:shd w:val="clear" w:color="auto" w:fill="FFFFFF"/>
        <w:jc w:val="right"/>
        <w:divId w:val="1593736607"/>
        <w:rPr>
          <w:rFonts w:eastAsia="Times New Roman"/>
          <w:b/>
          <w:bCs/>
          <w:color w:val="000000"/>
        </w:rPr>
      </w:pPr>
      <w:r>
        <w:rPr>
          <w:rFonts w:eastAsia="Times New Roman"/>
          <w:b/>
          <w:bCs/>
          <w:color w:val="000000"/>
        </w:rPr>
        <w:t>Ўзбекистон Респуб</w:t>
      </w:r>
      <w:r>
        <w:rPr>
          <w:rFonts w:eastAsia="Times New Roman"/>
          <w:b/>
          <w:bCs/>
          <w:color w:val="000000"/>
        </w:rPr>
        <w:t>ликаси Олий Мажлиси Қонунчилик палатасининг Спикери Н. ИСМОИЛОВ</w:t>
      </w:r>
    </w:p>
    <w:p w:rsidR="00000000" w:rsidRDefault="007F45DB">
      <w:pPr>
        <w:shd w:val="clear" w:color="auto" w:fill="FFFFFF"/>
        <w:jc w:val="right"/>
        <w:divId w:val="1524906139"/>
        <w:rPr>
          <w:rFonts w:eastAsia="Times New Roman"/>
          <w:b/>
          <w:bCs/>
          <w:color w:val="000000"/>
        </w:rPr>
      </w:pPr>
      <w:r>
        <w:rPr>
          <w:rFonts w:eastAsia="Times New Roman"/>
          <w:b/>
          <w:bCs/>
          <w:color w:val="000000"/>
        </w:rPr>
        <w:t>Ўзбекистон Республикаси Олий Мажлиси Сенатининг Раиси Т. НАРБАЕВА</w:t>
      </w:r>
    </w:p>
    <w:p w:rsidR="00000000" w:rsidRDefault="007F45DB">
      <w:pPr>
        <w:shd w:val="clear" w:color="auto" w:fill="FFFFFF"/>
        <w:jc w:val="center"/>
        <w:divId w:val="916746542"/>
        <w:rPr>
          <w:rFonts w:eastAsia="Times New Roman"/>
          <w:color w:val="000000"/>
          <w:sz w:val="22"/>
          <w:szCs w:val="22"/>
        </w:rPr>
      </w:pPr>
      <w:r>
        <w:rPr>
          <w:rFonts w:eastAsia="Times New Roman"/>
          <w:color w:val="000000"/>
          <w:sz w:val="22"/>
          <w:szCs w:val="22"/>
        </w:rPr>
        <w:t>Тошкент ш.,</w:t>
      </w:r>
    </w:p>
    <w:p w:rsidR="00000000" w:rsidRDefault="007F45DB">
      <w:pPr>
        <w:shd w:val="clear" w:color="auto" w:fill="FFFFFF"/>
        <w:jc w:val="center"/>
        <w:divId w:val="296837540"/>
        <w:rPr>
          <w:rFonts w:eastAsia="Times New Roman"/>
          <w:color w:val="000000"/>
          <w:sz w:val="22"/>
          <w:szCs w:val="22"/>
        </w:rPr>
      </w:pPr>
      <w:r>
        <w:rPr>
          <w:rFonts w:eastAsia="Times New Roman"/>
          <w:color w:val="000000"/>
          <w:sz w:val="22"/>
          <w:szCs w:val="22"/>
        </w:rPr>
        <w:t>2019 йил 30 сентябрь,</w:t>
      </w:r>
    </w:p>
    <w:p w:rsidR="007F45DB" w:rsidRDefault="007F45DB">
      <w:pPr>
        <w:shd w:val="clear" w:color="auto" w:fill="FFFFFF"/>
        <w:jc w:val="center"/>
        <w:divId w:val="2072003259"/>
        <w:rPr>
          <w:rFonts w:eastAsia="Times New Roman"/>
          <w:color w:val="000000"/>
          <w:sz w:val="22"/>
          <w:szCs w:val="22"/>
        </w:rPr>
      </w:pPr>
      <w:r>
        <w:rPr>
          <w:rFonts w:eastAsia="Times New Roman"/>
          <w:color w:val="000000"/>
          <w:sz w:val="22"/>
          <w:szCs w:val="22"/>
        </w:rPr>
        <w:t>2782-III/КҚ-610-III-сон</w:t>
      </w:r>
    </w:p>
    <w:sectPr w:rsidR="007F45DB">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17515"/>
    <w:rsid w:val="007F45DB"/>
    <w:rsid w:val="00F1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7BCD9-CE29-4D87-BDB5-B4AAC811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5300">
      <w:marLeft w:val="0"/>
      <w:marRight w:val="0"/>
      <w:marTop w:val="100"/>
      <w:marBottom w:val="100"/>
      <w:divBdr>
        <w:top w:val="none" w:sz="0" w:space="0" w:color="auto"/>
        <w:left w:val="none" w:sz="0" w:space="0" w:color="auto"/>
        <w:bottom w:val="none" w:sz="0" w:space="0" w:color="auto"/>
        <w:right w:val="none" w:sz="0" w:space="0" w:color="auto"/>
      </w:divBdr>
      <w:divsChild>
        <w:div w:id="1443258464">
          <w:marLeft w:val="539"/>
          <w:marRight w:val="510"/>
          <w:marTop w:val="60"/>
          <w:marBottom w:val="60"/>
          <w:divBdr>
            <w:top w:val="none" w:sz="0" w:space="0" w:color="auto"/>
            <w:left w:val="none" w:sz="0" w:space="0" w:color="auto"/>
            <w:bottom w:val="none" w:sz="0" w:space="0" w:color="auto"/>
            <w:right w:val="none" w:sz="0" w:space="0" w:color="auto"/>
          </w:divBdr>
          <w:divsChild>
            <w:div w:id="1327249244">
              <w:marLeft w:val="0"/>
              <w:marRight w:val="0"/>
              <w:marTop w:val="0"/>
              <w:marBottom w:val="0"/>
              <w:divBdr>
                <w:top w:val="none" w:sz="0" w:space="0" w:color="auto"/>
                <w:left w:val="none" w:sz="0" w:space="0" w:color="auto"/>
                <w:bottom w:val="none" w:sz="0" w:space="0" w:color="auto"/>
                <w:right w:val="none" w:sz="0" w:space="0" w:color="auto"/>
              </w:divBdr>
            </w:div>
          </w:divsChild>
        </w:div>
        <w:div w:id="734667667">
          <w:marLeft w:val="539"/>
          <w:marRight w:val="510"/>
          <w:marTop w:val="60"/>
          <w:marBottom w:val="60"/>
          <w:divBdr>
            <w:top w:val="none" w:sz="0" w:space="0" w:color="auto"/>
            <w:left w:val="none" w:sz="0" w:space="0" w:color="auto"/>
            <w:bottom w:val="none" w:sz="0" w:space="0" w:color="auto"/>
            <w:right w:val="none" w:sz="0" w:space="0" w:color="auto"/>
          </w:divBdr>
          <w:divsChild>
            <w:div w:id="1691178708">
              <w:marLeft w:val="0"/>
              <w:marRight w:val="0"/>
              <w:marTop w:val="0"/>
              <w:marBottom w:val="0"/>
              <w:divBdr>
                <w:top w:val="none" w:sz="0" w:space="0" w:color="auto"/>
                <w:left w:val="none" w:sz="0" w:space="0" w:color="auto"/>
                <w:bottom w:val="none" w:sz="0" w:space="0" w:color="auto"/>
                <w:right w:val="none" w:sz="0" w:space="0" w:color="auto"/>
              </w:divBdr>
            </w:div>
          </w:divsChild>
        </w:div>
        <w:div w:id="1462308120">
          <w:marLeft w:val="0"/>
          <w:marRight w:val="0"/>
          <w:marTop w:val="240"/>
          <w:marBottom w:val="120"/>
          <w:divBdr>
            <w:top w:val="none" w:sz="0" w:space="0" w:color="auto"/>
            <w:left w:val="none" w:sz="0" w:space="0" w:color="auto"/>
            <w:bottom w:val="none" w:sz="0" w:space="0" w:color="auto"/>
            <w:right w:val="none" w:sz="0" w:space="0" w:color="auto"/>
          </w:divBdr>
        </w:div>
        <w:div w:id="1593736607">
          <w:marLeft w:val="0"/>
          <w:marRight w:val="0"/>
          <w:marTop w:val="120"/>
          <w:marBottom w:val="120"/>
          <w:divBdr>
            <w:top w:val="none" w:sz="0" w:space="0" w:color="auto"/>
            <w:left w:val="none" w:sz="0" w:space="0" w:color="auto"/>
            <w:bottom w:val="none" w:sz="0" w:space="0" w:color="auto"/>
            <w:right w:val="none" w:sz="0" w:space="0" w:color="auto"/>
          </w:divBdr>
        </w:div>
        <w:div w:id="1524906139">
          <w:marLeft w:val="0"/>
          <w:marRight w:val="0"/>
          <w:marTop w:val="120"/>
          <w:marBottom w:val="120"/>
          <w:divBdr>
            <w:top w:val="none" w:sz="0" w:space="0" w:color="auto"/>
            <w:left w:val="none" w:sz="0" w:space="0" w:color="auto"/>
            <w:bottom w:val="none" w:sz="0" w:space="0" w:color="auto"/>
            <w:right w:val="none" w:sz="0" w:space="0" w:color="auto"/>
          </w:divBdr>
        </w:div>
        <w:div w:id="916746542">
          <w:marLeft w:val="0"/>
          <w:marRight w:val="70"/>
          <w:marTop w:val="0"/>
          <w:marBottom w:val="0"/>
          <w:divBdr>
            <w:top w:val="none" w:sz="0" w:space="0" w:color="auto"/>
            <w:left w:val="none" w:sz="0" w:space="0" w:color="auto"/>
            <w:bottom w:val="none" w:sz="0" w:space="0" w:color="auto"/>
            <w:right w:val="none" w:sz="0" w:space="0" w:color="auto"/>
          </w:divBdr>
        </w:div>
        <w:div w:id="296837540">
          <w:marLeft w:val="0"/>
          <w:marRight w:val="70"/>
          <w:marTop w:val="0"/>
          <w:marBottom w:val="0"/>
          <w:divBdr>
            <w:top w:val="none" w:sz="0" w:space="0" w:color="auto"/>
            <w:left w:val="none" w:sz="0" w:space="0" w:color="auto"/>
            <w:bottom w:val="none" w:sz="0" w:space="0" w:color="auto"/>
            <w:right w:val="none" w:sz="0" w:space="0" w:color="auto"/>
          </w:divBdr>
        </w:div>
        <w:div w:id="2072003259">
          <w:marLeft w:val="0"/>
          <w:marRight w:val="7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docs/4355387" TargetMode="External"/><Relationship Id="rId4" Type="http://schemas.openxmlformats.org/officeDocument/2006/relationships/hyperlink" Target="http://lex.uz/docs/4355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2782-III 30.09.2019</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2782-III 30.09.2019</dc:title>
  <dc:subject/>
  <dc:creator>hp</dc:creator>
  <cp:keywords/>
  <dc:description/>
  <cp:lastModifiedBy>hp</cp:lastModifiedBy>
  <cp:revision>2</cp:revision>
  <dcterms:created xsi:type="dcterms:W3CDTF">2022-05-11T05:20:00Z</dcterms:created>
  <dcterms:modified xsi:type="dcterms:W3CDTF">2022-05-11T05:20:00Z</dcterms:modified>
</cp:coreProperties>
</file>